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09" w:rsidRDefault="004F4F09">
      <w:pPr>
        <w:spacing w:line="500" w:lineRule="exact"/>
        <w:jc w:val="center"/>
        <w:rPr>
          <w:rFonts w:ascii="宋体" w:eastAsia="宋体" w:hAnsi="宋体" w:cs="Times New Roman"/>
          <w:b/>
          <w:sz w:val="44"/>
          <w:szCs w:val="44"/>
        </w:rPr>
      </w:pPr>
    </w:p>
    <w:p w:rsidR="004F4F09" w:rsidRDefault="004F4F09">
      <w:pPr>
        <w:snapToGrid w:val="0"/>
        <w:spacing w:line="480" w:lineRule="auto"/>
        <w:contextualSpacing/>
        <w:jc w:val="center"/>
        <w:rPr>
          <w:rFonts w:ascii="仿宋" w:eastAsia="仿宋" w:hAnsi="仿宋" w:cs="仿宋"/>
          <w:b/>
          <w:sz w:val="48"/>
        </w:rPr>
      </w:pPr>
    </w:p>
    <w:p w:rsidR="004F4F09" w:rsidRDefault="004F4F09">
      <w:pPr>
        <w:snapToGrid w:val="0"/>
        <w:spacing w:line="480" w:lineRule="auto"/>
        <w:contextualSpacing/>
        <w:jc w:val="center"/>
        <w:rPr>
          <w:rFonts w:ascii="仿宋" w:eastAsia="仿宋" w:hAnsi="仿宋" w:cs="仿宋"/>
          <w:b/>
          <w:sz w:val="48"/>
        </w:rPr>
      </w:pPr>
    </w:p>
    <w:p w:rsidR="004F4F09" w:rsidRDefault="00091341">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外国文教专家聘请计划项目指南</w:t>
      </w:r>
    </w:p>
    <w:p w:rsidR="004F4F09" w:rsidRDefault="00091341">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w:t>
      </w:r>
      <w:r>
        <w:rPr>
          <w:rFonts w:ascii="仿宋" w:eastAsia="仿宋" w:hAnsi="仿宋" w:cs="仿宋" w:hint="eastAsia"/>
          <w:b/>
          <w:sz w:val="48"/>
        </w:rPr>
        <w:t>201</w:t>
      </w:r>
      <w:r>
        <w:rPr>
          <w:rFonts w:ascii="仿宋" w:eastAsia="仿宋" w:hAnsi="仿宋" w:cs="仿宋" w:hint="eastAsia"/>
          <w:b/>
          <w:sz w:val="48"/>
        </w:rPr>
        <w:t>8</w:t>
      </w:r>
      <w:r>
        <w:rPr>
          <w:rFonts w:ascii="仿宋" w:eastAsia="仿宋" w:hAnsi="仿宋" w:cs="仿宋" w:hint="eastAsia"/>
          <w:b/>
          <w:sz w:val="48"/>
        </w:rPr>
        <w:t>版）</w:t>
      </w:r>
    </w:p>
    <w:p w:rsidR="004F4F09" w:rsidRDefault="004F4F09">
      <w:pPr>
        <w:jc w:val="center"/>
        <w:rPr>
          <w:rFonts w:ascii="仿宋" w:eastAsia="仿宋" w:hAnsi="仿宋" w:cs="仿宋"/>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4F4F09">
      <w:pPr>
        <w:jc w:val="center"/>
        <w:rPr>
          <w:rFonts w:ascii="仿宋" w:eastAsia="仿宋" w:hAnsi="仿宋" w:cs="仿宋"/>
          <w:b/>
          <w:sz w:val="28"/>
        </w:rPr>
      </w:pPr>
    </w:p>
    <w:p w:rsidR="004F4F09" w:rsidRDefault="00091341">
      <w:pPr>
        <w:jc w:val="center"/>
        <w:rPr>
          <w:rFonts w:ascii="仿宋" w:eastAsia="仿宋" w:hAnsi="仿宋" w:cs="仿宋"/>
          <w:b/>
          <w:sz w:val="28"/>
        </w:rPr>
      </w:pPr>
      <w:r>
        <w:rPr>
          <w:rFonts w:ascii="仿宋" w:eastAsia="仿宋" w:hAnsi="仿宋" w:cs="仿宋" w:hint="eastAsia"/>
          <w:b/>
          <w:sz w:val="28"/>
        </w:rPr>
        <w:t>国家外国专家局教科文卫专家司</w:t>
      </w:r>
    </w:p>
    <w:p w:rsidR="004F4F09" w:rsidRDefault="00091341">
      <w:pPr>
        <w:jc w:val="center"/>
        <w:rPr>
          <w:rFonts w:ascii="仿宋" w:eastAsia="仿宋" w:hAnsi="仿宋" w:cs="仿宋"/>
          <w:b/>
          <w:sz w:val="28"/>
        </w:rPr>
      </w:pPr>
      <w:r>
        <w:rPr>
          <w:rFonts w:ascii="仿宋" w:eastAsia="仿宋" w:hAnsi="仿宋" w:cs="仿宋" w:hint="eastAsia"/>
          <w:b/>
          <w:sz w:val="28"/>
        </w:rPr>
        <w:t>二〇一七年</w:t>
      </w:r>
      <w:r>
        <w:rPr>
          <w:rFonts w:ascii="仿宋" w:eastAsia="仿宋" w:hAnsi="仿宋" w:cs="仿宋" w:hint="eastAsia"/>
          <w:b/>
          <w:sz w:val="28"/>
        </w:rPr>
        <w:t>十</w:t>
      </w:r>
      <w:r>
        <w:rPr>
          <w:rFonts w:ascii="仿宋" w:eastAsia="仿宋" w:hAnsi="仿宋" w:cs="仿宋" w:hint="eastAsia"/>
          <w:b/>
          <w:sz w:val="28"/>
        </w:rPr>
        <w:t>月</w:t>
      </w: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rPr>
          <w:rFonts w:ascii="黑体" w:eastAsia="黑体" w:hAnsi="黑体" w:cs="黑体"/>
          <w:sz w:val="44"/>
          <w:szCs w:val="44"/>
        </w:rPr>
      </w:pPr>
    </w:p>
    <w:p w:rsidR="004F4F09" w:rsidRDefault="004F4F09">
      <w:pPr>
        <w:spacing w:line="500" w:lineRule="exact"/>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Pr="0009231B" w:rsidRDefault="004F4F09" w:rsidP="0009231B">
      <w:pPr>
        <w:spacing w:line="500" w:lineRule="exact"/>
        <w:rPr>
          <w:rFonts w:ascii="黑体" w:eastAsia="黑体" w:hAnsi="黑体" w:cs="黑体"/>
          <w:sz w:val="44"/>
          <w:szCs w:val="44"/>
        </w:rPr>
      </w:pPr>
    </w:p>
    <w:p w:rsidR="004F4F09" w:rsidRDefault="004F4F09">
      <w:pPr>
        <w:spacing w:line="500" w:lineRule="exact"/>
        <w:jc w:val="center"/>
        <w:rPr>
          <w:rFonts w:ascii="仿宋" w:eastAsia="仿宋" w:hAnsi="仿宋" w:cs="仿宋"/>
          <w:b/>
          <w:bCs/>
          <w:sz w:val="44"/>
          <w:szCs w:val="44"/>
        </w:rPr>
      </w:pPr>
    </w:p>
    <w:p w:rsidR="004F4F09" w:rsidRDefault="004F4F09">
      <w:pPr>
        <w:spacing w:line="500" w:lineRule="exact"/>
        <w:jc w:val="center"/>
        <w:rPr>
          <w:rFonts w:ascii="仿宋" w:eastAsia="仿宋" w:hAnsi="仿宋" w:cs="仿宋"/>
          <w:b/>
          <w:bCs/>
          <w:sz w:val="44"/>
          <w:szCs w:val="44"/>
        </w:rPr>
      </w:pPr>
    </w:p>
    <w:p w:rsidR="004F4F09" w:rsidRDefault="00091341">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4F4F09" w:rsidRDefault="004F4F09">
      <w:pPr>
        <w:spacing w:line="500" w:lineRule="exact"/>
        <w:ind w:firstLineChars="270" w:firstLine="567"/>
        <w:rPr>
          <w:rFonts w:ascii="仿宋" w:eastAsia="仿宋" w:hAnsi="仿宋" w:cs="仿宋"/>
          <w:szCs w:val="21"/>
        </w:rPr>
      </w:pP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为便于各高校更好地了解外国文教专家项目的类别、申报程序、资助政策等，国家外国专家局教科文卫专家司专门编制了</w:t>
      </w:r>
      <w:r>
        <w:rPr>
          <w:rFonts w:ascii="仿宋_GB2312" w:eastAsia="仿宋_GB2312" w:hAnsi="仿宋_GB2312" w:cs="仿宋_GB2312" w:hint="eastAsia"/>
          <w:spacing w:val="-6"/>
          <w:sz w:val="32"/>
          <w:szCs w:val="32"/>
        </w:rPr>
        <w:t>《外国文教专家聘请计划项目指南（</w:t>
      </w:r>
      <w:r>
        <w:rPr>
          <w:rFonts w:ascii="仿宋_GB2312" w:eastAsia="仿宋_GB2312" w:hAnsi="仿宋_GB2312" w:cs="仿宋_GB2312" w:hint="eastAsia"/>
          <w:spacing w:val="-6"/>
          <w:sz w:val="32"/>
          <w:szCs w:val="32"/>
        </w:rPr>
        <w:t>2018</w:t>
      </w:r>
      <w:r>
        <w:rPr>
          <w:rFonts w:ascii="仿宋_GB2312" w:eastAsia="仿宋_GB2312" w:hAnsi="仿宋_GB2312" w:cs="仿宋_GB2312" w:hint="eastAsia"/>
          <w:spacing w:val="-6"/>
          <w:sz w:val="32"/>
          <w:szCs w:val="32"/>
        </w:rPr>
        <w:t>版）》</w:t>
      </w:r>
      <w:r>
        <w:rPr>
          <w:rFonts w:ascii="仿宋_GB2312" w:eastAsia="仿宋_GB2312" w:hAnsi="仿宋_GB2312" w:cs="仿宋_GB2312" w:hint="eastAsia"/>
          <w:sz w:val="32"/>
          <w:szCs w:val="32"/>
        </w:rPr>
        <w:t>（简称《项目指南》），便于各高校搭建更加便捷高效的外国人才引进和使用平台，引导各申请单位更准确的了解各项目的相关标准条件，申报方式，选择项目类型，联系外国人才，申请各项目资助。</w:t>
      </w:r>
    </w:p>
    <w:p w:rsidR="004F4F09" w:rsidRDefault="004F4F09">
      <w:pPr>
        <w:spacing w:line="500" w:lineRule="exact"/>
        <w:ind w:firstLineChars="200" w:firstLine="640"/>
        <w:rPr>
          <w:rFonts w:ascii="仿宋_GB2312" w:eastAsia="仿宋_GB2312" w:hAnsi="仿宋_GB2312" w:cs="仿宋_GB2312"/>
          <w:sz w:val="32"/>
          <w:szCs w:val="32"/>
        </w:rPr>
      </w:pPr>
    </w:p>
    <w:p w:rsidR="004F4F09" w:rsidRDefault="004F4F09">
      <w:pPr>
        <w:spacing w:line="500" w:lineRule="exact"/>
        <w:ind w:firstLine="570"/>
        <w:rPr>
          <w:rFonts w:ascii="仿宋" w:eastAsia="仿宋" w:hAnsi="仿宋" w:cs="仿宋"/>
          <w:sz w:val="28"/>
        </w:rPr>
      </w:pPr>
    </w:p>
    <w:p w:rsidR="004F4F09" w:rsidRDefault="004F4F09">
      <w:pPr>
        <w:spacing w:line="500" w:lineRule="exact"/>
        <w:ind w:firstLine="570"/>
        <w:rPr>
          <w:rFonts w:ascii="仿宋" w:eastAsia="仿宋" w:hAnsi="仿宋" w:cs="仿宋"/>
          <w:sz w:val="28"/>
        </w:rPr>
      </w:pPr>
    </w:p>
    <w:p w:rsidR="004F4F09" w:rsidRDefault="004F4F09">
      <w:pPr>
        <w:spacing w:line="500" w:lineRule="exact"/>
        <w:ind w:firstLine="570"/>
        <w:rPr>
          <w:rFonts w:ascii="仿宋" w:eastAsia="仿宋" w:hAnsi="仿宋" w:cs="仿宋"/>
          <w:sz w:val="28"/>
        </w:rPr>
      </w:pPr>
    </w:p>
    <w:p w:rsidR="004F4F09" w:rsidRDefault="004F4F09">
      <w:pPr>
        <w:spacing w:line="500" w:lineRule="exact"/>
        <w:ind w:firstLine="570"/>
        <w:rPr>
          <w:rFonts w:ascii="仿宋" w:eastAsia="仿宋" w:hAnsi="仿宋" w:cs="仿宋"/>
          <w:sz w:val="28"/>
        </w:rPr>
      </w:pPr>
    </w:p>
    <w:p w:rsidR="004F4F09" w:rsidRDefault="004F4F09">
      <w:pPr>
        <w:spacing w:line="500" w:lineRule="exact"/>
        <w:ind w:firstLine="570"/>
        <w:rPr>
          <w:rFonts w:ascii="仿宋" w:eastAsia="仿宋" w:hAnsi="仿宋" w:cs="仿宋"/>
          <w:sz w:val="28"/>
        </w:rPr>
      </w:pPr>
    </w:p>
    <w:p w:rsidR="004F4F09" w:rsidRDefault="004F4F09">
      <w:pPr>
        <w:spacing w:line="500" w:lineRule="exact"/>
        <w:ind w:firstLine="570"/>
        <w:rPr>
          <w:rFonts w:ascii="仿宋" w:eastAsia="仿宋" w:hAnsi="仿宋" w:cs="仿宋"/>
          <w:sz w:val="28"/>
        </w:rPr>
      </w:pPr>
    </w:p>
    <w:p w:rsidR="004F4F09" w:rsidRDefault="004F4F09" w:rsidP="0009231B">
      <w:pPr>
        <w:spacing w:line="500" w:lineRule="exact"/>
        <w:rPr>
          <w:rFonts w:ascii="仿宋" w:eastAsia="仿宋" w:hAnsi="仿宋" w:cs="仿宋"/>
          <w:sz w:val="28"/>
        </w:rPr>
      </w:pPr>
    </w:p>
    <w:p w:rsidR="004F4F09" w:rsidRDefault="004F4F09" w:rsidP="00595CC3">
      <w:pPr>
        <w:spacing w:line="500" w:lineRule="exact"/>
        <w:rPr>
          <w:rFonts w:ascii="仿宋" w:eastAsia="仿宋" w:hAnsi="仿宋" w:cs="仿宋"/>
          <w:sz w:val="28"/>
        </w:rPr>
      </w:pPr>
    </w:p>
    <w:p w:rsidR="0009231B" w:rsidRPr="0009231B" w:rsidRDefault="0009231B" w:rsidP="0009231B">
      <w:pPr>
        <w:pStyle w:val="a7"/>
        <w:numPr>
          <w:ilvl w:val="0"/>
          <w:numId w:val="4"/>
        </w:numPr>
        <w:spacing w:line="500" w:lineRule="exact"/>
        <w:ind w:firstLineChars="0"/>
        <w:jc w:val="center"/>
        <w:rPr>
          <w:rFonts w:ascii="黑体" w:eastAsia="黑体" w:hAnsi="黑体" w:cs="黑体"/>
          <w:sz w:val="44"/>
          <w:szCs w:val="44"/>
        </w:rPr>
      </w:pPr>
      <w:r>
        <w:rPr>
          <w:rFonts w:ascii="黑体" w:eastAsia="黑体" w:hAnsi="黑体" w:cs="黑体" w:hint="eastAsia"/>
          <w:sz w:val="44"/>
          <w:szCs w:val="44"/>
        </w:rPr>
        <w:lastRenderedPageBreak/>
        <w:t>国家重点项目</w:t>
      </w:r>
    </w:p>
    <w:p w:rsidR="0009231B" w:rsidRDefault="0009231B">
      <w:pPr>
        <w:spacing w:line="500" w:lineRule="exact"/>
        <w:jc w:val="center"/>
        <w:rPr>
          <w:rFonts w:ascii="黑体" w:eastAsia="黑体" w:hAnsi="黑体" w:hint="eastAsia"/>
          <w:b/>
          <w:bCs/>
          <w:sz w:val="32"/>
          <w:szCs w:val="32"/>
        </w:rPr>
      </w:pPr>
    </w:p>
    <w:p w:rsidR="004F4F09" w:rsidRDefault="0009231B">
      <w:pPr>
        <w:spacing w:line="500" w:lineRule="exact"/>
        <w:jc w:val="center"/>
        <w:rPr>
          <w:rFonts w:ascii="黑体" w:eastAsia="黑体" w:hAnsi="黑体"/>
          <w:b/>
          <w:bCs/>
          <w:sz w:val="32"/>
          <w:szCs w:val="32"/>
        </w:rPr>
      </w:pPr>
      <w:r>
        <w:rPr>
          <w:rFonts w:ascii="黑体" w:eastAsia="黑体" w:hAnsi="黑体" w:hint="eastAsia"/>
          <w:b/>
          <w:bCs/>
          <w:sz w:val="32"/>
          <w:szCs w:val="32"/>
        </w:rPr>
        <w:t>I.I</w:t>
      </w:r>
      <w:r w:rsidR="00091341">
        <w:rPr>
          <w:rFonts w:ascii="黑体" w:eastAsia="黑体" w:hAnsi="黑体" w:hint="eastAsia"/>
          <w:b/>
          <w:bCs/>
          <w:sz w:val="32"/>
          <w:szCs w:val="32"/>
        </w:rPr>
        <w:t>国家重大科技专项外国人才引进计划</w:t>
      </w:r>
    </w:p>
    <w:p w:rsidR="004F4F09" w:rsidRDefault="004F4F09">
      <w:pPr>
        <w:spacing w:line="500" w:lineRule="exact"/>
        <w:rPr>
          <w:rFonts w:ascii="华文楷体" w:eastAsia="华文楷体" w:hAnsi="华文楷体"/>
          <w:sz w:val="28"/>
          <w:szCs w:val="28"/>
        </w:rPr>
      </w:pPr>
    </w:p>
    <w:p w:rsidR="004F4F09" w:rsidRDefault="00091341">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rsidR="004F4F09" w:rsidRDefault="00091341">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F4F09" w:rsidRDefault="00091341">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（一）引进的外国人才应符合以下条件：</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w:t>
      </w:r>
      <w:r>
        <w:rPr>
          <w:rFonts w:ascii="仿宋_GB2312" w:eastAsia="仿宋_GB2312" w:hAnsi="仿宋_GB2312" w:cs="仿宋_GB2312" w:hint="eastAsia"/>
          <w:sz w:val="32"/>
          <w:szCs w:val="32"/>
        </w:rPr>
        <w:t>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个月以上。</w:t>
      </w:r>
    </w:p>
    <w:p w:rsidR="004F4F09" w:rsidRDefault="00091341">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（二）工作内容</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高校开展相关领域前沿技术研究，合作科研，关键技术攻关，推动高校研究水平提升。参与高校承担的与企业合作的相关领域重大专项研究课题和任务，能够实现研究成果快速转化和应用。有效引入国外先进科研组织管理模式，组建中外融合的高水平研究团队，迅速提</w:t>
      </w:r>
      <w:r>
        <w:rPr>
          <w:rFonts w:ascii="仿宋_GB2312" w:eastAsia="仿宋_GB2312" w:hAnsi="仿宋_GB2312" w:cs="仿宋_GB2312" w:hint="eastAsia"/>
          <w:sz w:val="32"/>
          <w:szCs w:val="32"/>
        </w:rPr>
        <w:t>升我国组织开展重大</w:t>
      </w:r>
      <w:r>
        <w:rPr>
          <w:rFonts w:ascii="仿宋_GB2312" w:eastAsia="仿宋_GB2312" w:hAnsi="仿宋_GB2312" w:cs="仿宋_GB2312" w:hint="eastAsia"/>
          <w:sz w:val="32"/>
          <w:szCs w:val="32"/>
        </w:rPr>
        <w:lastRenderedPageBreak/>
        <w:t>专项研究，实现产业发展的整体水平。</w:t>
      </w:r>
    </w:p>
    <w:p w:rsidR="004F4F09" w:rsidRDefault="00091341">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申报及立项</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（二）申请该项目须填写《国家重大科技专项外国人才引进计划申请书》，经高校外国专家管理部门和所在学校签署意见后通过“外国文教专家项目管理系统”上报。</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F4F09" w:rsidRDefault="00091341">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（一）高校按照外国专家来华工作实际需求提出预算方案，对符合该项目有关要求的外国专家予以重点经费支持。</w:t>
      </w:r>
    </w:p>
    <w:p w:rsidR="004F4F09" w:rsidRDefault="00091341">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w:t>
      </w:r>
      <w:r>
        <w:rPr>
          <w:rFonts w:ascii="仿宋_GB2312" w:eastAsia="仿宋_GB2312" w:hAnsi="仿宋_GB2312" w:cs="仿宋_GB2312" w:hint="eastAsia"/>
          <w:spacing w:val="-6"/>
          <w:sz w:val="32"/>
          <w:szCs w:val="32"/>
        </w:rPr>
        <w:t>项目经费按年度划拨，应当专款专用，单独核算。</w:t>
      </w: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4F4F09">
      <w:pPr>
        <w:pStyle w:val="30"/>
        <w:spacing w:line="500" w:lineRule="exact"/>
        <w:ind w:firstLine="640"/>
        <w:rPr>
          <w:rFonts w:ascii="黑体" w:eastAsia="黑体" w:hAnsi="黑体" w:cs="黑体"/>
          <w:sz w:val="32"/>
          <w:szCs w:val="32"/>
        </w:rPr>
      </w:pPr>
    </w:p>
    <w:p w:rsidR="004F4F09" w:rsidRDefault="0009231B">
      <w:pPr>
        <w:spacing w:line="500" w:lineRule="exact"/>
        <w:jc w:val="center"/>
        <w:rPr>
          <w:rFonts w:ascii="黑体" w:eastAsia="黑体" w:hAnsi="黑体"/>
          <w:b/>
          <w:bCs/>
          <w:sz w:val="32"/>
          <w:szCs w:val="32"/>
        </w:rPr>
      </w:pPr>
      <w:r>
        <w:rPr>
          <w:rFonts w:ascii="黑体" w:eastAsia="黑体" w:hAnsi="黑体" w:hint="eastAsia"/>
          <w:b/>
          <w:bCs/>
          <w:sz w:val="32"/>
          <w:szCs w:val="32"/>
        </w:rPr>
        <w:t xml:space="preserve">I.II </w:t>
      </w:r>
      <w:r w:rsidR="00091341">
        <w:rPr>
          <w:rFonts w:ascii="黑体" w:eastAsia="黑体" w:hAnsi="黑体" w:hint="eastAsia"/>
          <w:b/>
          <w:bCs/>
          <w:sz w:val="32"/>
          <w:szCs w:val="32"/>
        </w:rPr>
        <w:t>“一带一路”教科文卫引智计划</w:t>
      </w:r>
    </w:p>
    <w:p w:rsidR="004F4F09" w:rsidRDefault="004F4F09">
      <w:pPr>
        <w:spacing w:line="500" w:lineRule="exact"/>
      </w:pP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根据国家推进丝绸之路经济带和</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海上丝绸之路建设倡议（“一带一路”）需要，为增强高等学校与“一带一路”沿线国家开展国际合作水平以及为我国“一带一路”战略服务水平，提升高校为我国外交大局服务能力，设立“‘一带一路’教科文卫引智计划”。</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（一）该项目重点支持在高校开展长期工作外国专家，原则上每人不少于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（二）申报本项目的外国专家年龄要求为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岁以下，有特殊需要的，年龄可放宽至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（三）本项目主要支持团队项目（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人以上）申报。</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（二）申请该项目须填写《“一带一路”教科文卫引智计划申请书》，经高校外国专家管理部门和所在学校签署意</w:t>
      </w:r>
      <w:r>
        <w:rPr>
          <w:rFonts w:ascii="仿宋_GB2312" w:eastAsia="仿宋_GB2312" w:hAnsi="仿宋_GB2312" w:cs="仿宋_GB2312" w:hint="eastAsia"/>
          <w:sz w:val="32"/>
          <w:szCs w:val="32"/>
        </w:rPr>
        <w:lastRenderedPageBreak/>
        <w:t>见后通过“外国文教专家项目管理系统”上报。</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（三）教科文卫专家司对项目申请书进行详细审查，符合条件的予以批复立项资助。</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4F4F09">
      <w:pPr>
        <w:spacing w:line="500" w:lineRule="exact"/>
        <w:ind w:firstLineChars="200" w:firstLine="640"/>
        <w:rPr>
          <w:rFonts w:ascii="仿宋" w:eastAsia="仿宋" w:hAnsi="仿宋" w:cs="仿宋"/>
          <w:sz w:val="32"/>
          <w:szCs w:val="32"/>
        </w:rPr>
      </w:pPr>
    </w:p>
    <w:p w:rsidR="004F4F09" w:rsidRDefault="0009231B">
      <w:pPr>
        <w:pStyle w:val="30"/>
        <w:spacing w:line="500" w:lineRule="exact"/>
        <w:ind w:firstLineChars="0" w:firstLine="0"/>
        <w:jc w:val="center"/>
        <w:rPr>
          <w:rFonts w:asciiTheme="majorEastAsia" w:eastAsiaTheme="majorEastAsia" w:hAnsiTheme="majorEastAsia" w:cstheme="majorEastAsia"/>
          <w:b/>
          <w:bCs/>
          <w:sz w:val="44"/>
          <w:szCs w:val="44"/>
        </w:rPr>
      </w:pPr>
      <w:bookmarkStart w:id="0" w:name="_Toc453594437"/>
      <w:r>
        <w:rPr>
          <w:rFonts w:ascii="黑体" w:eastAsia="黑体" w:hAnsi="黑体" w:cs="黑体" w:hint="eastAsia"/>
          <w:b/>
          <w:bCs/>
          <w:sz w:val="32"/>
          <w:szCs w:val="32"/>
        </w:rPr>
        <w:t>I.</w:t>
      </w:r>
      <w:r w:rsidRPr="0009231B">
        <w:rPr>
          <w:rFonts w:ascii="黑体" w:eastAsia="黑体" w:hAnsi="黑体" w:cs="仿宋" w:hint="eastAsia"/>
          <w:b/>
          <w:bCs/>
          <w:sz w:val="32"/>
          <w:szCs w:val="32"/>
        </w:rPr>
        <w:t xml:space="preserve"> </w:t>
      </w:r>
      <w:r>
        <w:rPr>
          <w:rFonts w:ascii="黑体" w:eastAsia="黑体" w:hAnsi="黑体" w:cs="仿宋" w:hint="eastAsia"/>
          <w:b/>
          <w:bCs/>
          <w:sz w:val="32"/>
          <w:szCs w:val="32"/>
        </w:rPr>
        <w:t>III</w:t>
      </w:r>
      <w:r w:rsidR="00091341">
        <w:rPr>
          <w:rFonts w:ascii="黑体" w:eastAsia="黑体" w:hAnsi="黑体" w:cs="黑体" w:hint="eastAsia"/>
          <w:b/>
          <w:bCs/>
          <w:sz w:val="32"/>
          <w:szCs w:val="32"/>
        </w:rPr>
        <w:t>高端外国专家项目（文教类）</w:t>
      </w:r>
      <w:bookmarkEnd w:id="0"/>
    </w:p>
    <w:p w:rsidR="004F4F09" w:rsidRDefault="004F4F09">
      <w:pPr>
        <w:spacing w:line="500" w:lineRule="exact"/>
      </w:pP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（一）申报“高端外国专家项目（文教类）”的专家应符合下列条件之一：（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）在国外著名高校、科研院所担任相当教授职务的专家学者；（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）在国际知名企业或金融机构担任高级职务的专业技术人才和经营管理人才；（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）拥有自主知识产权或掌握核心技术的创业人才；（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）“千人计划”外专项目入选专家工作团队中的主要成员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）国家急需紧缺的其他高层次外国专家。</w:t>
      </w:r>
    </w:p>
    <w:p w:rsidR="004F4F09" w:rsidRDefault="00091341">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（二）国内工作时间：申报个人项目的，专家</w:t>
      </w:r>
      <w:r>
        <w:rPr>
          <w:rFonts w:ascii="仿宋_GB2312" w:eastAsia="仿宋_GB2312" w:hAnsi="仿宋_GB2312" w:cs="仿宋_GB2312" w:hint="eastAsia"/>
          <w:bCs/>
          <w:sz w:val="32"/>
          <w:szCs w:val="32"/>
        </w:rPr>
        <w:t>在华工作时间累计不少于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个月；申报团队项目的，团队成员来华累计工作时间上不少于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（二）申请该项目须填写《高端外国专家项目（文教类）申请书》，经高校外国专家管理部门和所在学校签署意见后通过“外国文教专家项目管理系统”上报。</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（三）教科文卫专家司对项目申请书进行详细审查，对</w:t>
      </w:r>
      <w:r>
        <w:rPr>
          <w:rFonts w:ascii="仿宋_GB2312" w:eastAsia="仿宋_GB2312" w:hAnsi="仿宋_GB2312" w:cs="仿宋_GB2312" w:hint="eastAsia"/>
          <w:sz w:val="32"/>
          <w:szCs w:val="32"/>
        </w:rPr>
        <w:lastRenderedPageBreak/>
        <w:t>符合条件的，组织专家评审后择优予以批</w:t>
      </w:r>
      <w:r>
        <w:rPr>
          <w:rFonts w:ascii="仿宋_GB2312" w:eastAsia="仿宋_GB2312" w:hAnsi="仿宋_GB2312" w:cs="仿宋_GB2312" w:hint="eastAsia"/>
          <w:sz w:val="32"/>
          <w:szCs w:val="32"/>
        </w:rPr>
        <w:t>复立项。</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注意事项</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rsidR="004F4F09" w:rsidRDefault="004F4F09">
      <w:pPr>
        <w:spacing w:line="500" w:lineRule="exact"/>
      </w:pPr>
      <w:bookmarkStart w:id="1" w:name="_Toc453594439"/>
      <w:bookmarkStart w:id="2" w:name="OLE_LINK8"/>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09231B">
      <w:pPr>
        <w:spacing w:line="500" w:lineRule="exact"/>
        <w:jc w:val="center"/>
        <w:rPr>
          <w:rFonts w:ascii="黑体" w:eastAsia="黑体" w:hAnsi="黑体" w:cs="黑体"/>
          <w:sz w:val="44"/>
          <w:szCs w:val="44"/>
        </w:rPr>
      </w:pPr>
      <w:r>
        <w:rPr>
          <w:rFonts w:ascii="黑体" w:eastAsia="黑体" w:hAnsi="黑体" w:cs="黑体" w:hint="eastAsia"/>
          <w:sz w:val="44"/>
          <w:szCs w:val="44"/>
        </w:rPr>
        <w:t>第二</w:t>
      </w:r>
      <w:r w:rsidR="00091341">
        <w:rPr>
          <w:rFonts w:ascii="黑体" w:eastAsia="黑体" w:hAnsi="黑体" w:cs="黑体" w:hint="eastAsia"/>
          <w:sz w:val="44"/>
          <w:szCs w:val="44"/>
        </w:rPr>
        <w:t>部分</w:t>
      </w:r>
    </w:p>
    <w:p w:rsidR="004F4F09" w:rsidRDefault="004F4F09">
      <w:pPr>
        <w:spacing w:line="500" w:lineRule="exact"/>
        <w:jc w:val="center"/>
        <w:rPr>
          <w:rFonts w:ascii="黑体" w:eastAsia="黑体" w:hAnsi="黑体" w:cs="黑体"/>
          <w:sz w:val="44"/>
          <w:szCs w:val="44"/>
        </w:rPr>
      </w:pPr>
    </w:p>
    <w:p w:rsidR="004F4F09" w:rsidRDefault="00091341">
      <w:pPr>
        <w:spacing w:line="500" w:lineRule="exact"/>
        <w:jc w:val="center"/>
        <w:rPr>
          <w:rFonts w:ascii="黑体" w:eastAsia="黑体" w:hAnsi="黑体" w:cs="黑体"/>
          <w:sz w:val="44"/>
          <w:szCs w:val="44"/>
        </w:rPr>
      </w:pPr>
      <w:r>
        <w:rPr>
          <w:rFonts w:ascii="黑体" w:eastAsia="黑体" w:hAnsi="黑体" w:cs="黑体" w:hint="eastAsia"/>
          <w:sz w:val="44"/>
          <w:szCs w:val="44"/>
        </w:rPr>
        <w:t>高校重点项目介绍</w:t>
      </w:r>
    </w:p>
    <w:p w:rsidR="004F4F09" w:rsidRDefault="004F4F09">
      <w:pPr>
        <w:spacing w:line="500" w:lineRule="exact"/>
        <w:jc w:val="center"/>
        <w:rPr>
          <w:rFonts w:ascii="黑体" w:eastAsia="黑体" w:hAnsi="黑体" w:cs="黑体"/>
          <w:sz w:val="32"/>
          <w:szCs w:val="32"/>
        </w:rPr>
      </w:pPr>
    </w:p>
    <w:p w:rsidR="004F4F09" w:rsidRDefault="00091341">
      <w:pPr>
        <w:spacing w:line="500" w:lineRule="exact"/>
        <w:ind w:firstLineChars="200" w:firstLine="640"/>
        <w:rPr>
          <w:rFonts w:ascii="黑体" w:eastAsia="黑体" w:hAnsi="黑体" w:cs="仿宋"/>
          <w:sz w:val="32"/>
          <w:szCs w:val="32"/>
        </w:rPr>
      </w:pPr>
      <w:r>
        <w:rPr>
          <w:rFonts w:ascii="黑体" w:eastAsia="黑体" w:hAnsi="黑体" w:hint="eastAsia"/>
          <w:sz w:val="32"/>
          <w:szCs w:val="32"/>
        </w:rPr>
        <w:t>高校重点外国文教专家项目</w:t>
      </w:r>
      <w:r>
        <w:rPr>
          <w:rFonts w:ascii="黑体" w:eastAsia="黑体" w:hAnsi="黑体" w:cs="仿宋" w:hint="eastAsia"/>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w:t>
      </w:r>
      <w:r>
        <w:rPr>
          <w:rFonts w:ascii="黑体" w:eastAsia="黑体" w:hAnsi="黑体" w:cs="仿宋" w:hint="eastAsia"/>
          <w:sz w:val="32"/>
          <w:szCs w:val="32"/>
        </w:rPr>
        <w:t>111</w:t>
      </w:r>
      <w:r>
        <w:rPr>
          <w:rFonts w:ascii="黑体" w:eastAsia="黑体" w:hAnsi="黑体" w:cs="仿宋" w:hint="eastAsia"/>
          <w:sz w:val="32"/>
          <w:szCs w:val="32"/>
        </w:rPr>
        <w:t>计划”培育项目、外国青年人才引进项目、国际学术大师校园行项目</w:t>
      </w:r>
      <w:r>
        <w:rPr>
          <w:rFonts w:ascii="黑体" w:eastAsia="黑体" w:hAnsi="黑体" w:cs="仿宋" w:hint="eastAsia"/>
          <w:sz w:val="32"/>
          <w:szCs w:val="32"/>
        </w:rPr>
        <w:t>、学校特色聘专项目等。</w:t>
      </w:r>
    </w:p>
    <w:p w:rsidR="004F4F09" w:rsidRDefault="004F4F09">
      <w:pPr>
        <w:widowControl/>
        <w:spacing w:line="500" w:lineRule="exact"/>
        <w:jc w:val="left"/>
      </w:pPr>
    </w:p>
    <w:p w:rsidR="004F4F09" w:rsidRDefault="004F4F09">
      <w:pPr>
        <w:widowControl/>
        <w:spacing w:line="500" w:lineRule="exact"/>
        <w:jc w:val="lef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pPr>
    </w:p>
    <w:p w:rsidR="004F4F09" w:rsidRDefault="004F4F09">
      <w:pPr>
        <w:spacing w:line="500" w:lineRule="exact"/>
        <w:jc w:val="center"/>
        <w:rPr>
          <w:rFonts w:ascii="黑体" w:eastAsia="黑体" w:hAnsi="黑体" w:cstheme="majorEastAsia"/>
          <w:b/>
          <w:bCs/>
          <w:sz w:val="32"/>
          <w:szCs w:val="32"/>
        </w:rPr>
      </w:pPr>
    </w:p>
    <w:p w:rsidR="004F4F09" w:rsidRDefault="00091341">
      <w:pPr>
        <w:spacing w:line="500" w:lineRule="exact"/>
        <w:jc w:val="center"/>
        <w:rPr>
          <w:rFonts w:ascii="黑体" w:eastAsia="黑体" w:hAnsi="黑体" w:cstheme="majorEastAsia"/>
          <w:b/>
          <w:bCs/>
          <w:sz w:val="32"/>
          <w:szCs w:val="32"/>
        </w:rPr>
      </w:pPr>
      <w:r>
        <w:rPr>
          <w:rFonts w:ascii="黑体" w:eastAsia="黑体" w:hAnsi="黑体" w:cstheme="majorEastAsia" w:hint="eastAsia"/>
          <w:b/>
          <w:bCs/>
          <w:sz w:val="32"/>
          <w:szCs w:val="32"/>
        </w:rPr>
        <w:t>II.I</w:t>
      </w:r>
      <w:r>
        <w:rPr>
          <w:rFonts w:ascii="黑体" w:eastAsia="黑体" w:hAnsi="黑体" w:cstheme="majorEastAsia" w:hint="eastAsia"/>
          <w:b/>
          <w:bCs/>
          <w:sz w:val="32"/>
          <w:szCs w:val="32"/>
        </w:rPr>
        <w:t>“</w:t>
      </w:r>
      <w:r>
        <w:rPr>
          <w:rFonts w:ascii="黑体" w:eastAsia="黑体" w:hAnsi="黑体" w:cstheme="majorEastAsia" w:hint="eastAsia"/>
          <w:b/>
          <w:bCs/>
          <w:sz w:val="32"/>
          <w:szCs w:val="32"/>
        </w:rPr>
        <w:t>111</w:t>
      </w:r>
      <w:r>
        <w:rPr>
          <w:rFonts w:ascii="黑体" w:eastAsia="黑体" w:hAnsi="黑体" w:cstheme="majorEastAsia" w:hint="eastAsia"/>
          <w:b/>
          <w:bCs/>
          <w:sz w:val="32"/>
          <w:szCs w:val="32"/>
        </w:rPr>
        <w:t>计划”培育项目</w:t>
      </w:r>
    </w:p>
    <w:p w:rsidR="004F4F09" w:rsidRDefault="004F4F09">
      <w:pPr>
        <w:spacing w:line="500" w:lineRule="exact"/>
      </w:pP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为增强高校建设“世界一流学科”水平，推动特色优势学科进入国家一流学科建设行列，提高高校学科引智水平，提升科研水平和创新能力，以进入国家“</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计划”为目标，积极引进外国专家团队开展科学研究、人才培养和学科建设。</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标准和条件</w:t>
      </w:r>
    </w:p>
    <w:p w:rsidR="004F4F09" w:rsidRDefault="00091341">
      <w:pPr>
        <w:spacing w:line="5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该项目由各高校以重点发展优势学科为基础，面向国家重大需求，以进入国家“</w:t>
      </w:r>
      <w:r>
        <w:rPr>
          <w:rFonts w:ascii="仿宋_GB2312" w:eastAsia="仿宋_GB2312" w:hAnsi="仿宋_GB2312" w:cs="仿宋_GB2312" w:hint="eastAsia"/>
          <w:spacing w:val="-6"/>
          <w:sz w:val="32"/>
          <w:szCs w:val="32"/>
        </w:rPr>
        <w:t>111</w:t>
      </w:r>
      <w:r>
        <w:rPr>
          <w:rFonts w:ascii="仿宋_GB2312" w:eastAsia="仿宋_GB2312" w:hAnsi="仿宋_GB2312" w:cs="仿宋_GB2312" w:hint="eastAsia"/>
          <w:spacing w:val="-6"/>
          <w:sz w:val="32"/>
          <w:szCs w:val="32"/>
        </w:rPr>
        <w:t>计划”为目标，大力引进国际一流人才和团队。</w:t>
      </w:r>
      <w:r>
        <w:rPr>
          <w:rFonts w:ascii="仿宋_GB2312" w:eastAsia="仿宋_GB2312" w:hAnsi="仿宋_GB2312" w:cs="仿宋_GB2312" w:hint="eastAsia"/>
          <w:sz w:val="32"/>
          <w:szCs w:val="32"/>
        </w:rPr>
        <w:t>相关标准和条件参照“</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计划”管理和实施办法有关规定，遴选高水平学术大师，积极开发国外人才资源，引进国外科研骨干参与学科建设。</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申报单位在申报下一年度外国文教专家聘请计划时，按要求统一提交项目申请，由“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计划”管理办公室进行严格项目审查合格后立项，并给予专项经费支持，项目实施由各高校负责。</w:t>
      </w: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4F4F09">
      <w:pPr>
        <w:spacing w:line="500" w:lineRule="exact"/>
        <w:jc w:val="center"/>
        <w:rPr>
          <w:rFonts w:ascii="黑体" w:eastAsia="黑体" w:hAnsi="黑体" w:cs="黑体"/>
          <w:sz w:val="32"/>
          <w:szCs w:val="32"/>
        </w:rPr>
      </w:pPr>
    </w:p>
    <w:p w:rsidR="004F4F09" w:rsidRDefault="00091341">
      <w:pPr>
        <w:spacing w:line="500" w:lineRule="exact"/>
        <w:jc w:val="center"/>
        <w:rPr>
          <w:rFonts w:ascii="黑体" w:eastAsia="黑体" w:hAnsi="黑体" w:cs="黑体"/>
          <w:b/>
          <w:bCs/>
          <w:sz w:val="32"/>
          <w:szCs w:val="32"/>
        </w:rPr>
      </w:pPr>
      <w:bookmarkStart w:id="3" w:name="_Toc453594441"/>
      <w:r>
        <w:rPr>
          <w:rFonts w:ascii="黑体" w:eastAsia="黑体" w:hAnsi="黑体" w:cs="黑体" w:hint="eastAsia"/>
          <w:b/>
          <w:bCs/>
          <w:sz w:val="32"/>
          <w:szCs w:val="32"/>
        </w:rPr>
        <w:t>II.II</w:t>
      </w:r>
      <w:r>
        <w:rPr>
          <w:rFonts w:ascii="黑体" w:eastAsia="黑体" w:hAnsi="黑体" w:cs="黑体" w:hint="eastAsia"/>
          <w:b/>
          <w:bCs/>
          <w:sz w:val="32"/>
          <w:szCs w:val="32"/>
        </w:rPr>
        <w:t>外国青年人才引进项目</w:t>
      </w:r>
      <w:bookmarkEnd w:id="3"/>
    </w:p>
    <w:p w:rsidR="004F4F09" w:rsidRDefault="004F4F09">
      <w:pPr>
        <w:spacing w:line="500" w:lineRule="exact"/>
      </w:pP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为加快实施国家创新驱动发展战略，为“一带一路”、中国制造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等国家战略提供人才支持，提升我国高校对外国青年研究人才的吸引力，国家外国专家局决定实施“外国青年人才引进项目”，资助一批外国青年人才来华开展博士后研究工作。</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受资助人员应符合以下基本条件：</w:t>
      </w:r>
    </w:p>
    <w:p w:rsidR="004F4F09" w:rsidRDefault="00091341">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（一）年龄一般不超过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p>
    <w:p w:rsidR="004F4F09" w:rsidRDefault="00091341">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（二）拥有与我国建交国家的国籍。</w:t>
      </w:r>
    </w:p>
    <w:p w:rsidR="004F4F09" w:rsidRDefault="00091341">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（三）近一年内在国外（境外）高校获得博士学位。</w:t>
      </w:r>
    </w:p>
    <w:p w:rsidR="004F4F09" w:rsidRDefault="00091341">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（四）能够保证在华连续两年内从事博士后研究工作不少于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个月。</w:t>
      </w:r>
    </w:p>
    <w:p w:rsidR="004F4F09" w:rsidRDefault="00091341">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（五）非英语国家人员应具有良好的中文（或英文）听、说、读、写</w:t>
      </w:r>
      <w:r>
        <w:rPr>
          <w:rFonts w:ascii="仿宋_GB2312" w:eastAsia="仿宋_GB2312" w:hAnsi="仿宋_GB2312" w:cs="仿宋_GB2312" w:hint="eastAsia"/>
          <w:sz w:val="32"/>
          <w:szCs w:val="32"/>
        </w:rPr>
        <w:t>能力。</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（二）申请该项目须填写《外国青年人才引进项目申请书》，经高校外国专家管理部门和所在学校签署意见后通过“外国文教专家项目管理系统”上报。</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4.</w:t>
      </w:r>
      <w:r>
        <w:rPr>
          <w:rFonts w:ascii="黑体" w:eastAsia="黑体" w:hAnsi="黑体" w:cs="黑体" w:hint="eastAsia"/>
          <w:sz w:val="32"/>
          <w:szCs w:val="32"/>
        </w:rPr>
        <w:t>经费支持</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年，如需延期，延长期的费用由所在单位承担。</w:t>
      </w:r>
    </w:p>
    <w:p w:rsidR="004F4F09" w:rsidRDefault="00091341">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（二）资助引进人员每人每年</w:t>
      </w:r>
      <w:r>
        <w:rPr>
          <w:rFonts w:ascii="仿宋_GB2312" w:eastAsia="仿宋_GB2312" w:hAnsi="仿宋_GB2312" w:cs="仿宋_GB2312" w:hint="eastAsia"/>
          <w:b w:val="0"/>
          <w:bCs w:val="0"/>
        </w:rPr>
        <w:t>20</w:t>
      </w:r>
      <w:r>
        <w:rPr>
          <w:rFonts w:ascii="仿宋_GB2312" w:eastAsia="仿宋_GB2312" w:hAnsi="仿宋_GB2312" w:cs="仿宋_GB2312" w:hint="eastAsia"/>
          <w:b w:val="0"/>
          <w:bCs w:val="0"/>
        </w:rPr>
        <w:t>万元人民币，包括工资、基本保险、住房费用和往返差旅费</w:t>
      </w:r>
      <w:r>
        <w:rPr>
          <w:rFonts w:ascii="仿宋_GB2312" w:eastAsia="仿宋_GB2312" w:hAnsi="仿宋_GB2312" w:cs="仿宋_GB2312" w:hint="eastAsia"/>
          <w:b w:val="0"/>
          <w:bCs w:val="0"/>
        </w:rPr>
        <w:t>等。延长期的资助标准参照以上标准执行。</w:t>
      </w:r>
      <w:bookmarkStart w:id="4" w:name="_Toc453594442"/>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rPr>
          <w:rFonts w:ascii="仿宋_GB2312" w:eastAsia="仿宋_GB2312" w:hAnsi="仿宋_GB2312" w:cs="仿宋_GB2312"/>
          <w:sz w:val="32"/>
          <w:szCs w:val="32"/>
        </w:rPr>
      </w:pPr>
    </w:p>
    <w:p w:rsidR="004F4F09" w:rsidRDefault="004F4F09">
      <w:pPr>
        <w:spacing w:line="500" w:lineRule="exact"/>
        <w:jc w:val="center"/>
        <w:rPr>
          <w:rFonts w:ascii="黑体" w:eastAsia="黑体" w:hAnsi="黑体" w:cs="黑体"/>
          <w:sz w:val="32"/>
          <w:szCs w:val="32"/>
        </w:rPr>
      </w:pPr>
      <w:bookmarkStart w:id="5" w:name="_Toc453594443"/>
      <w:bookmarkEnd w:id="4"/>
    </w:p>
    <w:bookmarkEnd w:id="5"/>
    <w:p w:rsidR="004F4F09" w:rsidRDefault="004F4F09">
      <w:pPr>
        <w:spacing w:line="500" w:lineRule="exact"/>
        <w:rPr>
          <w:rFonts w:ascii="黑体" w:eastAsia="黑体" w:hAnsi="黑体" w:cs="黑体"/>
          <w:sz w:val="32"/>
          <w:szCs w:val="32"/>
        </w:rPr>
      </w:pPr>
    </w:p>
    <w:p w:rsidR="004F4F09" w:rsidRDefault="00091341">
      <w:pPr>
        <w:spacing w:line="500" w:lineRule="exact"/>
        <w:jc w:val="center"/>
        <w:rPr>
          <w:rFonts w:asciiTheme="majorEastAsia" w:eastAsiaTheme="majorEastAsia" w:hAnsiTheme="majorEastAsia" w:cstheme="majorEastAsia"/>
          <w:b/>
          <w:bCs/>
          <w:spacing w:val="-11"/>
          <w:sz w:val="44"/>
          <w:szCs w:val="44"/>
        </w:rPr>
      </w:pPr>
      <w:r>
        <w:rPr>
          <w:rFonts w:ascii="黑体" w:eastAsia="黑体" w:hAnsi="黑体" w:cs="仿宋" w:hint="eastAsia"/>
          <w:b/>
          <w:bCs/>
          <w:sz w:val="32"/>
          <w:szCs w:val="32"/>
        </w:rPr>
        <w:t>II.III</w:t>
      </w:r>
      <w:r>
        <w:rPr>
          <w:rFonts w:ascii="黑体" w:eastAsia="黑体" w:hAnsi="黑体" w:cs="仿宋" w:hint="eastAsia"/>
          <w:b/>
          <w:bCs/>
          <w:sz w:val="32"/>
          <w:szCs w:val="32"/>
        </w:rPr>
        <w:t>国际学术大师校园行项目</w:t>
      </w:r>
    </w:p>
    <w:p w:rsidR="004F4F09" w:rsidRDefault="004F4F09">
      <w:pPr>
        <w:spacing w:line="500" w:lineRule="exact"/>
        <w:jc w:val="center"/>
        <w:rPr>
          <w:rFonts w:asciiTheme="majorEastAsia" w:eastAsiaTheme="majorEastAsia" w:hAnsiTheme="majorEastAsia" w:cstheme="majorEastAsia"/>
          <w:b/>
          <w:bCs/>
          <w:spacing w:val="-11"/>
          <w:sz w:val="44"/>
          <w:szCs w:val="44"/>
        </w:rPr>
      </w:pP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本项目旨在通过邀请诺贝尔奖获得者等高层次外国专家来华开展讲座、讲学、合作科研等活动，提升我国高校国际化学术氛围，激发学生对科研、学术的兴趣，带动我国高校学术影响力的提升。</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4F4F09" w:rsidRDefault="00091341">
      <w:pPr>
        <w:spacing w:line="500" w:lineRule="exact"/>
        <w:ind w:firstLineChars="200" w:firstLine="640"/>
        <w:rPr>
          <w:rFonts w:ascii="仿宋_GB2312" w:eastAsia="仿宋_GB2312" w:hAnsi="仿宋_GB2312" w:cs="仿宋_GB2312"/>
          <w:sz w:val="32"/>
          <w:szCs w:val="32"/>
        </w:rPr>
      </w:pPr>
      <w:bookmarkStart w:id="6" w:name="OLE_LINK7"/>
      <w:r>
        <w:rPr>
          <w:rFonts w:ascii="仿宋_GB2312" w:eastAsia="仿宋_GB2312" w:hAnsi="仿宋_GB2312" w:cs="仿宋_GB2312" w:hint="eastAsia"/>
          <w:sz w:val="32"/>
          <w:szCs w:val="32"/>
        </w:rPr>
        <w:t>（一）可申报本项目的外国专家包括：诺贝尔奖、菲尔兹奖、图灵奖、沃尔夫奖等国际著名科技奖项获得者。</w:t>
      </w:r>
    </w:p>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（二）外国专家不可在同一时间段申报不同高校的“国际学术大师校园行项目”。</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（二）申请该项目须填写《国际学术大师校园行项目申请书》，经高校外国专家管理部门和所在学校签署意见后通过“外国文教专家项目管理系统”上报。</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4F4F09" w:rsidRDefault="00091341">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4F4F09" w:rsidRDefault="0009134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bookmarkEnd w:id="6"/>
    <w:p w:rsidR="004F4F09" w:rsidRDefault="0009134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项目经费在本校外国文教专家经费中列支，用于聘请上述国际科技大奖获得者的国际旅费、在华期间住宿交通及生活津贴或部分薪酬，并可享受国际航班公务舱等优惠。</w:t>
      </w:r>
    </w:p>
    <w:p w:rsidR="004F4F09" w:rsidRDefault="004F4F09">
      <w:pPr>
        <w:spacing w:line="500" w:lineRule="exact"/>
        <w:rPr>
          <w:rFonts w:ascii="黑体" w:eastAsia="黑体" w:hAnsi="黑体" w:cs="黑体"/>
          <w:sz w:val="32"/>
          <w:szCs w:val="32"/>
        </w:rPr>
      </w:pPr>
    </w:p>
    <w:p w:rsidR="004F4F09" w:rsidRDefault="004F4F09">
      <w:pPr>
        <w:spacing w:line="500" w:lineRule="exact"/>
        <w:rPr>
          <w:rFonts w:ascii="仿宋" w:eastAsia="仿宋" w:hAnsi="仿宋" w:cs="仿宋"/>
        </w:rPr>
      </w:pPr>
      <w:bookmarkStart w:id="7" w:name="_Toc453594440"/>
      <w:bookmarkEnd w:id="1"/>
      <w:bookmarkEnd w:id="2"/>
    </w:p>
    <w:p w:rsidR="004F4F09" w:rsidRDefault="00091341">
      <w:pPr>
        <w:spacing w:line="500" w:lineRule="exact"/>
        <w:jc w:val="center"/>
        <w:rPr>
          <w:rFonts w:ascii="黑体" w:eastAsia="黑体" w:hAnsi="黑体"/>
          <w:b/>
          <w:bCs/>
          <w:sz w:val="36"/>
          <w:szCs w:val="36"/>
        </w:rPr>
      </w:pPr>
      <w:bookmarkStart w:id="8" w:name="_Toc453594444"/>
      <w:bookmarkEnd w:id="7"/>
      <w:r>
        <w:rPr>
          <w:rFonts w:ascii="黑体" w:eastAsia="黑体" w:hAnsi="黑体" w:cs="黑体" w:hint="eastAsia"/>
          <w:b/>
          <w:bCs/>
          <w:sz w:val="36"/>
          <w:szCs w:val="36"/>
        </w:rPr>
        <w:t>II.</w:t>
      </w:r>
      <w:r w:rsidR="0009231B" w:rsidRPr="0009231B">
        <w:rPr>
          <w:rFonts w:ascii="黑体" w:eastAsia="黑体" w:hAnsi="黑体" w:cs="仿宋" w:hint="eastAsia"/>
          <w:b/>
          <w:bCs/>
          <w:sz w:val="32"/>
          <w:szCs w:val="32"/>
        </w:rPr>
        <w:t xml:space="preserve"> </w:t>
      </w:r>
      <w:r w:rsidR="0009231B">
        <w:rPr>
          <w:rFonts w:ascii="黑体" w:eastAsia="黑体" w:hAnsi="黑体" w:cs="仿宋" w:hint="eastAsia"/>
          <w:b/>
          <w:bCs/>
          <w:sz w:val="32"/>
          <w:szCs w:val="32"/>
        </w:rPr>
        <w:t>I</w:t>
      </w:r>
      <w:r>
        <w:rPr>
          <w:rFonts w:ascii="黑体" w:eastAsia="黑体" w:hAnsi="黑体" w:cs="黑体" w:hint="eastAsia"/>
          <w:b/>
          <w:bCs/>
          <w:sz w:val="36"/>
          <w:szCs w:val="36"/>
        </w:rPr>
        <w:t>V</w:t>
      </w:r>
      <w:r>
        <w:rPr>
          <w:rFonts w:ascii="黑体" w:eastAsia="黑体" w:hAnsi="黑体" w:hint="eastAsia"/>
          <w:b/>
          <w:bCs/>
          <w:sz w:val="36"/>
          <w:szCs w:val="36"/>
        </w:rPr>
        <w:t>学校特色聘专项目</w:t>
      </w:r>
    </w:p>
    <w:p w:rsidR="004F4F09" w:rsidRDefault="004F4F09">
      <w:pPr>
        <w:spacing w:line="500" w:lineRule="exact"/>
        <w:jc w:val="center"/>
        <w:rPr>
          <w:rFonts w:ascii="黑体" w:eastAsia="黑体" w:hAnsi="黑体"/>
          <w:b/>
          <w:bCs/>
          <w:sz w:val="32"/>
          <w:szCs w:val="32"/>
        </w:rPr>
      </w:pPr>
    </w:p>
    <w:p w:rsidR="004F4F09" w:rsidRDefault="00091341">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rsidR="004F4F09" w:rsidRDefault="00091341">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项目要求</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本项目支持高校在全学科门类聘请外国人才承担学校日常教学任务，开展合作科研、讲座讲学等活动。</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服务高校提高人才培养质量，凸现学校办学定位和人才培养规格，凝练教育教学目标，加强师资队伍和课程体系建设，改善教学条件和人才培养质量。如培育优势学科专业，优化师资队伍结构，建设和改革专业课程，注重和加强实验实践教学，完善人才培养方案等。</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服务高校提升科学研究水平，促进科研成果的转化。如，加强原创性研究，引导和促进多学科交叉，建立师生参与科研创新实践活动的长效机制，培育新的学科生长点，突破重大科技瓶颈问题，提升参与国家重大项目的竞争力，提高科技创新能力和水平，扩大在国家科技创新体系中的影响，满足科技前沿重大需求，支持国家重点产业领域等。</w:t>
      </w:r>
      <w:r>
        <w:rPr>
          <w:rFonts w:ascii="仿宋" w:eastAsia="仿宋" w:hAnsi="仿宋" w:cs="仿宋" w:hint="eastAsia"/>
          <w:sz w:val="32"/>
          <w:szCs w:val="32"/>
        </w:rPr>
        <w:t xml:space="preserve"> </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（三）服务高校增进社会服务能力，促进人才培养与国家、地方、区域经济发展需求紧密结合，加强理论研究为社会发展提供政策咨询和解决方案，促进社会文化发展和精神文明建设等。</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（四）服务高校提升文化传承创新能力</w:t>
      </w:r>
      <w:r>
        <w:rPr>
          <w:rFonts w:ascii="仿宋" w:eastAsia="仿宋" w:hAnsi="仿宋" w:cs="仿宋" w:hint="eastAsia"/>
          <w:sz w:val="32"/>
          <w:szCs w:val="32"/>
        </w:rPr>
        <w:t>，大力开展与国外优势学科和研究机构的合作交流，引进国外文化领域名师大家，有效借鉴国外文化传承创新的途径和方法，加强文化“走出去”，讲好中国故事能力，增强文化自觉，树立文化自信，充分体现高校作为传递文明、创新思想的主阵地作用，充分增强高校推动中华文化复兴能力，促进社会主义文化大发展、大繁荣。</w:t>
      </w:r>
    </w:p>
    <w:p w:rsidR="004F4F09" w:rsidRDefault="00091341">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高校聘请外国人才来校工作，须满足国家规定的准入条件。</w:t>
      </w:r>
    </w:p>
    <w:p w:rsidR="004F4F09" w:rsidRDefault="00091341">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4F4F09" w:rsidRDefault="0009134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申报单位在申报下一年度外国文教专家聘请计划时，按要求统一提交项目申请，国家外国专家局进行项目审查，由申报单位自行组织实施。</w:t>
      </w:r>
    </w:p>
    <w:p w:rsidR="004F4F09" w:rsidRDefault="004F4F09">
      <w:pPr>
        <w:spacing w:line="500" w:lineRule="exact"/>
        <w:ind w:firstLineChars="200" w:firstLine="600"/>
        <w:rPr>
          <w:rFonts w:ascii="仿宋" w:eastAsia="仿宋" w:hAnsi="仿宋" w:cs="仿宋"/>
          <w:sz w:val="30"/>
          <w:szCs w:val="30"/>
        </w:rPr>
      </w:pPr>
    </w:p>
    <w:p w:rsidR="004F4F09" w:rsidRDefault="004F4F09">
      <w:pPr>
        <w:spacing w:line="500" w:lineRule="exact"/>
        <w:rPr>
          <w:rFonts w:ascii="黑体" w:eastAsia="黑体" w:hAnsi="黑体" w:cs="黑体"/>
          <w:sz w:val="44"/>
          <w:szCs w:val="44"/>
        </w:rPr>
      </w:pPr>
    </w:p>
    <w:p w:rsidR="004F4F09" w:rsidRDefault="004F4F09">
      <w:pPr>
        <w:spacing w:line="500" w:lineRule="exact"/>
        <w:rPr>
          <w:rFonts w:ascii="黑体" w:eastAsia="黑体" w:hAnsi="黑体" w:cs="黑体"/>
          <w:sz w:val="44"/>
          <w:szCs w:val="44"/>
        </w:rPr>
      </w:pPr>
    </w:p>
    <w:p w:rsidR="004F4F09" w:rsidRDefault="004F4F09">
      <w:pPr>
        <w:spacing w:line="500" w:lineRule="exact"/>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p w:rsidR="004F4F09" w:rsidRDefault="004F4F09">
      <w:pPr>
        <w:spacing w:line="500" w:lineRule="exact"/>
        <w:jc w:val="center"/>
        <w:rPr>
          <w:rFonts w:ascii="黑体" w:eastAsia="黑体" w:hAnsi="黑体" w:cs="黑体"/>
          <w:sz w:val="44"/>
          <w:szCs w:val="44"/>
        </w:rPr>
      </w:pPr>
    </w:p>
    <w:bookmarkEnd w:id="8"/>
    <w:p w:rsidR="004F4F09" w:rsidRDefault="004F4F09">
      <w:pPr>
        <w:spacing w:line="500" w:lineRule="exact"/>
        <w:jc w:val="center"/>
        <w:rPr>
          <w:rFonts w:ascii="黑体" w:eastAsia="黑体" w:hAnsi="黑体" w:cs="黑体"/>
          <w:sz w:val="44"/>
          <w:szCs w:val="44"/>
        </w:rPr>
      </w:pPr>
    </w:p>
    <w:sectPr w:rsidR="004F4F09" w:rsidSect="004F4F09">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41" w:rsidRDefault="00091341" w:rsidP="004F4F09">
      <w:r>
        <w:separator/>
      </w:r>
    </w:p>
  </w:endnote>
  <w:endnote w:type="continuationSeparator" w:id="1">
    <w:p w:rsidR="00091341" w:rsidRDefault="00091341" w:rsidP="004F4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09" w:rsidRDefault="004F4F09">
    <w:pPr>
      <w:pStyle w:val="a4"/>
    </w:pPr>
    <w:r>
      <w:pict>
        <v:shapetype id="_x0000_t202" coordsize="21600,21600" o:spt="202" path="m,l,21600r21600,l21600,xe">
          <v:stroke joinstyle="miter"/>
          <v:path gradientshapeok="t" o:connecttype="rect"/>
        </v:shapetype>
        <v:shape id="文本框 5" o:spid="_x0000_s2049" type="#_x0000_t202" style="position:absolute;margin-left:104pt;margin-top:0;width:2in;height:2in;z-index:25165824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4F4F09" w:rsidRDefault="00091341">
                <w:pPr>
                  <w:pStyle w:val="a4"/>
                </w:pPr>
                <w:r>
                  <w:rPr>
                    <w:rStyle w:val="a6"/>
                    <w:rFonts w:ascii="宋体" w:hAnsi="宋体"/>
                    <w:sz w:val="28"/>
                    <w:szCs w:val="28"/>
                  </w:rPr>
                  <w:t xml:space="preserve">— </w:t>
                </w:r>
                <w:r w:rsidR="004F4F09">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4F4F09">
                  <w:rPr>
                    <w:rFonts w:ascii="Times New Roman" w:hAnsi="Times New Roman" w:cs="Times New Roman"/>
                    <w:sz w:val="28"/>
                    <w:szCs w:val="28"/>
                  </w:rPr>
                  <w:fldChar w:fldCharType="separate"/>
                </w:r>
                <w:r w:rsidR="0009231B">
                  <w:rPr>
                    <w:rStyle w:val="a6"/>
                    <w:rFonts w:ascii="Times New Roman" w:hAnsi="Times New Roman" w:cs="Times New Roman"/>
                    <w:noProof/>
                    <w:sz w:val="28"/>
                    <w:szCs w:val="28"/>
                  </w:rPr>
                  <w:t>16</w:t>
                </w:r>
                <w:r w:rsidR="004F4F09">
                  <w:rPr>
                    <w:rFonts w:ascii="Times New Roman" w:hAnsi="Times New Roman" w:cs="Times New Roman"/>
                    <w:sz w:val="28"/>
                    <w:szCs w:val="28"/>
                  </w:rPr>
                  <w:fldChar w:fldCharType="end"/>
                </w:r>
                <w:r>
                  <w:rPr>
                    <w:rStyle w:val="a6"/>
                    <w:rFonts w:ascii="宋体" w:hAnsi="宋体" w:hint="eastAsia"/>
                    <w:sz w:val="28"/>
                    <w:szCs w:val="28"/>
                  </w:rPr>
                  <w:t>—</w:t>
                </w:r>
              </w:p>
            </w:txbxContent>
          </v:textbox>
          <w10:wrap anchorx="margin"/>
        </v:shape>
      </w:pict>
    </w:r>
  </w:p>
  <w:p w:rsidR="004F4F09" w:rsidRDefault="004F4F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41" w:rsidRDefault="00091341" w:rsidP="004F4F09">
      <w:r>
        <w:separator/>
      </w:r>
    </w:p>
  </w:footnote>
  <w:footnote w:type="continuationSeparator" w:id="1">
    <w:p w:rsidR="00091341" w:rsidRDefault="00091341" w:rsidP="004F4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09" w:rsidRDefault="004F4F09">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DE1B"/>
    <w:multiLevelType w:val="singleLevel"/>
    <w:tmpl w:val="59ABDE1B"/>
    <w:lvl w:ilvl="0">
      <w:start w:val="1"/>
      <w:numFmt w:val="decimal"/>
      <w:suff w:val="nothing"/>
      <w:lvlText w:val="%1."/>
      <w:lvlJc w:val="left"/>
    </w:lvl>
  </w:abstractNum>
  <w:abstractNum w:abstractNumId="1">
    <w:nsid w:val="59DB9689"/>
    <w:multiLevelType w:val="singleLevel"/>
    <w:tmpl w:val="59DB9689"/>
    <w:lvl w:ilvl="0">
      <w:start w:val="1"/>
      <w:numFmt w:val="chineseCounting"/>
      <w:suff w:val="nothing"/>
      <w:lvlText w:val="%1、"/>
      <w:lvlJc w:val="left"/>
    </w:lvl>
  </w:abstractNum>
  <w:abstractNum w:abstractNumId="2">
    <w:nsid w:val="59DB969C"/>
    <w:multiLevelType w:val="singleLevel"/>
    <w:tmpl w:val="59DB969C"/>
    <w:lvl w:ilvl="0">
      <w:start w:val="3"/>
      <w:numFmt w:val="chineseCounting"/>
      <w:suff w:val="nothing"/>
      <w:lvlText w:val="%1、"/>
      <w:lvlJc w:val="left"/>
    </w:lvl>
  </w:abstractNum>
  <w:abstractNum w:abstractNumId="3">
    <w:nsid w:val="742330C6"/>
    <w:multiLevelType w:val="hybridMultilevel"/>
    <w:tmpl w:val="09C08492"/>
    <w:lvl w:ilvl="0" w:tplc="F8129358">
      <w:start w:val="1"/>
      <w:numFmt w:val="japaneseCounting"/>
      <w:lvlText w:val="第%1部"/>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5F"/>
    <w:rsid w:val="00014AB6"/>
    <w:rsid w:val="00022ED0"/>
    <w:rsid w:val="00073FA1"/>
    <w:rsid w:val="00077C3F"/>
    <w:rsid w:val="00091341"/>
    <w:rsid w:val="0009231B"/>
    <w:rsid w:val="0009686A"/>
    <w:rsid w:val="000A61CC"/>
    <w:rsid w:val="000F488E"/>
    <w:rsid w:val="001013C7"/>
    <w:rsid w:val="0010300E"/>
    <w:rsid w:val="00105BA4"/>
    <w:rsid w:val="00106A0B"/>
    <w:rsid w:val="001226C7"/>
    <w:rsid w:val="00136B20"/>
    <w:rsid w:val="00177537"/>
    <w:rsid w:val="00190BAA"/>
    <w:rsid w:val="001D0593"/>
    <w:rsid w:val="001E6635"/>
    <w:rsid w:val="001F10FC"/>
    <w:rsid w:val="00226B72"/>
    <w:rsid w:val="00240E06"/>
    <w:rsid w:val="00242EEF"/>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E11E6"/>
    <w:rsid w:val="004F0EB8"/>
    <w:rsid w:val="004F4F09"/>
    <w:rsid w:val="00554901"/>
    <w:rsid w:val="00584702"/>
    <w:rsid w:val="00595CC3"/>
    <w:rsid w:val="005D1D25"/>
    <w:rsid w:val="005F06F5"/>
    <w:rsid w:val="006017CB"/>
    <w:rsid w:val="00602285"/>
    <w:rsid w:val="006022F9"/>
    <w:rsid w:val="006051C8"/>
    <w:rsid w:val="0061000F"/>
    <w:rsid w:val="00616865"/>
    <w:rsid w:val="006320E8"/>
    <w:rsid w:val="00654AC1"/>
    <w:rsid w:val="0066221C"/>
    <w:rsid w:val="00683DB3"/>
    <w:rsid w:val="006C2527"/>
    <w:rsid w:val="006D4B77"/>
    <w:rsid w:val="006E2879"/>
    <w:rsid w:val="00740B41"/>
    <w:rsid w:val="00752281"/>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E66BD"/>
    <w:rsid w:val="009E7F92"/>
    <w:rsid w:val="00A33145"/>
    <w:rsid w:val="00A458C3"/>
    <w:rsid w:val="00A46C07"/>
    <w:rsid w:val="00A532F5"/>
    <w:rsid w:val="00A93BE2"/>
    <w:rsid w:val="00A95C86"/>
    <w:rsid w:val="00A9608E"/>
    <w:rsid w:val="00A9633D"/>
    <w:rsid w:val="00AB71D0"/>
    <w:rsid w:val="00AC339A"/>
    <w:rsid w:val="00B177FB"/>
    <w:rsid w:val="00B6176F"/>
    <w:rsid w:val="00BB1401"/>
    <w:rsid w:val="00BB37D2"/>
    <w:rsid w:val="00BC7BC4"/>
    <w:rsid w:val="00C93E74"/>
    <w:rsid w:val="00CA5108"/>
    <w:rsid w:val="00D2019C"/>
    <w:rsid w:val="00D72B9A"/>
    <w:rsid w:val="00D740CE"/>
    <w:rsid w:val="00D871EB"/>
    <w:rsid w:val="00DB7210"/>
    <w:rsid w:val="00DC0139"/>
    <w:rsid w:val="00E41EB0"/>
    <w:rsid w:val="00E70C7B"/>
    <w:rsid w:val="00E95477"/>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09"/>
    <w:pPr>
      <w:widowControl w:val="0"/>
      <w:jc w:val="both"/>
    </w:pPr>
    <w:rPr>
      <w:kern w:val="2"/>
      <w:sz w:val="21"/>
      <w:szCs w:val="22"/>
    </w:rPr>
  </w:style>
  <w:style w:type="paragraph" w:styleId="1">
    <w:name w:val="heading 1"/>
    <w:basedOn w:val="a"/>
    <w:next w:val="a"/>
    <w:uiPriority w:val="9"/>
    <w:qFormat/>
    <w:rsid w:val="004F4F09"/>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F4F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F4F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4F4F09"/>
    <w:pPr>
      <w:spacing w:after="120"/>
      <w:ind w:leftChars="200" w:left="420"/>
    </w:pPr>
    <w:rPr>
      <w:rFonts w:eastAsia="宋体"/>
      <w:szCs w:val="24"/>
    </w:rPr>
  </w:style>
  <w:style w:type="paragraph" w:styleId="20">
    <w:name w:val="Body Text Indent 2"/>
    <w:basedOn w:val="a"/>
    <w:link w:val="2Char"/>
    <w:qFormat/>
    <w:rsid w:val="004F4F09"/>
    <w:pPr>
      <w:adjustRightInd w:val="0"/>
      <w:spacing w:line="560" w:lineRule="atLeast"/>
      <w:ind w:firstLine="630"/>
      <w:textAlignment w:val="baseline"/>
    </w:pPr>
    <w:rPr>
      <w:rFonts w:ascii="Times New Roman" w:eastAsia="仿宋_GB2312" w:hAnsi="Times New Roman" w:cs="Times New Roman"/>
      <w:spacing w:val="6"/>
      <w:kern w:val="0"/>
      <w:sz w:val="32"/>
      <w:szCs w:val="32"/>
    </w:rPr>
  </w:style>
  <w:style w:type="paragraph" w:styleId="a4">
    <w:name w:val="footer"/>
    <w:basedOn w:val="a"/>
    <w:link w:val="Char"/>
    <w:uiPriority w:val="99"/>
    <w:unhideWhenUsed/>
    <w:qFormat/>
    <w:rsid w:val="004F4F09"/>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4F4F09"/>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sid w:val="004F4F09"/>
  </w:style>
  <w:style w:type="character" w:customStyle="1" w:styleId="Char0">
    <w:name w:val="页眉 Char"/>
    <w:basedOn w:val="a0"/>
    <w:link w:val="a5"/>
    <w:uiPriority w:val="99"/>
    <w:semiHidden/>
    <w:qFormat/>
    <w:rsid w:val="004F4F09"/>
    <w:rPr>
      <w:sz w:val="18"/>
      <w:szCs w:val="18"/>
    </w:rPr>
  </w:style>
  <w:style w:type="character" w:customStyle="1" w:styleId="Char">
    <w:name w:val="页脚 Char"/>
    <w:basedOn w:val="a0"/>
    <w:link w:val="a4"/>
    <w:uiPriority w:val="99"/>
    <w:qFormat/>
    <w:rsid w:val="004F4F09"/>
    <w:rPr>
      <w:sz w:val="18"/>
      <w:szCs w:val="18"/>
    </w:rPr>
  </w:style>
  <w:style w:type="paragraph" w:customStyle="1" w:styleId="10">
    <w:name w:val="列出段落1"/>
    <w:basedOn w:val="a"/>
    <w:uiPriority w:val="34"/>
    <w:qFormat/>
    <w:rsid w:val="004F4F09"/>
    <w:pPr>
      <w:ind w:firstLineChars="200" w:firstLine="420"/>
    </w:pPr>
  </w:style>
  <w:style w:type="character" w:customStyle="1" w:styleId="2Char">
    <w:name w:val="正文文本缩进 2 Char"/>
    <w:basedOn w:val="a0"/>
    <w:link w:val="20"/>
    <w:qFormat/>
    <w:rsid w:val="004F4F09"/>
    <w:rPr>
      <w:rFonts w:ascii="Times New Roman" w:eastAsia="仿宋_GB2312" w:hAnsi="Times New Roman" w:cs="Times New Roman"/>
      <w:spacing w:val="6"/>
      <w:kern w:val="0"/>
      <w:sz w:val="32"/>
      <w:szCs w:val="32"/>
    </w:rPr>
  </w:style>
  <w:style w:type="paragraph" w:customStyle="1" w:styleId="ListParagraph1">
    <w:name w:val="List Paragraph1"/>
    <w:basedOn w:val="a"/>
    <w:qFormat/>
    <w:rsid w:val="004F4F09"/>
    <w:pPr>
      <w:ind w:firstLineChars="200" w:firstLine="420"/>
    </w:pPr>
    <w:rPr>
      <w:rFonts w:ascii="Calibri" w:eastAsia="宋体" w:hAnsi="Calibri" w:cs="Times New Roman"/>
    </w:rPr>
  </w:style>
  <w:style w:type="paragraph" w:customStyle="1" w:styleId="30">
    <w:name w:val="列出段落3"/>
    <w:basedOn w:val="a"/>
    <w:uiPriority w:val="34"/>
    <w:qFormat/>
    <w:rsid w:val="004F4F09"/>
    <w:pPr>
      <w:ind w:firstLineChars="200" w:firstLine="420"/>
    </w:pPr>
  </w:style>
  <w:style w:type="paragraph" w:customStyle="1" w:styleId="21">
    <w:name w:val="列出段落2"/>
    <w:basedOn w:val="a"/>
    <w:uiPriority w:val="34"/>
    <w:qFormat/>
    <w:rsid w:val="004F4F09"/>
    <w:pPr>
      <w:ind w:firstLineChars="200" w:firstLine="420"/>
    </w:pPr>
  </w:style>
  <w:style w:type="paragraph" w:customStyle="1" w:styleId="4">
    <w:name w:val="列出段落4"/>
    <w:basedOn w:val="a"/>
    <w:uiPriority w:val="99"/>
    <w:unhideWhenUsed/>
    <w:rsid w:val="004F4F09"/>
    <w:pPr>
      <w:ind w:firstLineChars="200" w:firstLine="420"/>
    </w:pPr>
  </w:style>
  <w:style w:type="character" w:customStyle="1" w:styleId="3Char">
    <w:name w:val="标题 3 Char"/>
    <w:basedOn w:val="a0"/>
    <w:link w:val="3"/>
    <w:uiPriority w:val="9"/>
    <w:qFormat/>
    <w:rsid w:val="004F4F09"/>
    <w:rPr>
      <w:b/>
      <w:bCs/>
      <w:kern w:val="2"/>
      <w:sz w:val="32"/>
      <w:szCs w:val="32"/>
    </w:rPr>
  </w:style>
  <w:style w:type="paragraph" w:styleId="a7">
    <w:name w:val="List Paragraph"/>
    <w:basedOn w:val="a"/>
    <w:uiPriority w:val="99"/>
    <w:unhideWhenUsed/>
    <w:rsid w:val="0009231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737</Words>
  <Characters>4202</Characters>
  <Application>Microsoft Office Word</Application>
  <DocSecurity>0</DocSecurity>
  <Lines>35</Lines>
  <Paragraphs>9</Paragraphs>
  <ScaleCrop>false</ScaleCrop>
  <Company>Hewlett-Packard Company</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cd</cp:lastModifiedBy>
  <cp:revision>3</cp:revision>
  <cp:lastPrinted>2017-10-09T06:25:00Z</cp:lastPrinted>
  <dcterms:created xsi:type="dcterms:W3CDTF">2017-10-11T02:33:00Z</dcterms:created>
  <dcterms:modified xsi:type="dcterms:W3CDTF">2017-10-11T02:48:00Z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